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18" w:rsidRPr="008B5518" w:rsidRDefault="008B5518" w:rsidP="008B5518">
      <w:pPr>
        <w:spacing w:after="0" w:line="390" w:lineRule="atLeast"/>
        <w:jc w:val="center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8B5518">
        <w:rPr>
          <w:rFonts w:ascii="Roboto" w:eastAsia="Times New Roman" w:hAnsi="Roboto" w:cs="Times New Roman"/>
          <w:sz w:val="36"/>
          <w:szCs w:val="36"/>
          <w:lang w:eastAsia="ru-RU"/>
        </w:rPr>
        <w:t>МУНИЦИПАЛЬНОЕ БЮДЖЕТНОЕ ОБЩЕОБРАЗОВАТЕЛЬНОЕ УЧРЕЖДЕНИЕ СРЕДНЯЯ ОБЩЕОБРАЗОВАТЕЛЬНАЯ ШКОЛА № 30 ИМЕНИ ГЕРОЯ СОВЕТСКОГО СОЮЗА Ю.В. ЧИБИСОВА МУНИЦИПАЛЬНОГО ОБРАЗОВАНИЯ АБИНСКИЙ РАЙОН</w:t>
      </w:r>
      <w:r w:rsidRPr="008B5518">
        <w:rPr>
          <w:rFonts w:ascii="Roboto" w:eastAsia="Times New Roman" w:hAnsi="Roboto" w:cs="Times New Roman"/>
          <w:sz w:val="36"/>
          <w:szCs w:val="36"/>
          <w:lang w:eastAsia="ru-RU"/>
        </w:rPr>
        <w:br/>
      </w:r>
      <w:r w:rsidRPr="008B5518">
        <w:rPr>
          <w:rFonts w:ascii="Roboto" w:eastAsia="Times New Roman" w:hAnsi="Roboto" w:cs="Times New Roman"/>
          <w:sz w:val="36"/>
          <w:szCs w:val="36"/>
          <w:lang w:eastAsia="ru-RU"/>
        </w:rPr>
        <w:br/>
        <w:t>План финансово-хозяйственной деятельности на 2022 год</w:t>
      </w:r>
      <w:r w:rsidRPr="008B5518">
        <w:rPr>
          <w:rFonts w:ascii="Roboto" w:eastAsia="Times New Roman" w:hAnsi="Roboto" w:cs="Times New Roman"/>
          <w:sz w:val="36"/>
          <w:szCs w:val="36"/>
          <w:lang w:eastAsia="ru-RU"/>
        </w:rPr>
        <w:br/>
        <w:t>и плановый период 2023 и 2024 годов</w:t>
      </w:r>
    </w:p>
    <w:p w:rsidR="008B5518" w:rsidRPr="008B5518" w:rsidRDefault="008B5518" w:rsidP="008B5518">
      <w:pPr>
        <w:spacing w:after="15" w:line="690" w:lineRule="atLeast"/>
        <w:jc w:val="center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8B5518">
        <w:rPr>
          <w:rFonts w:ascii="Roboto" w:eastAsia="Times New Roman" w:hAnsi="Roboto" w:cs="Times New Roman"/>
          <w:sz w:val="27"/>
          <w:szCs w:val="27"/>
          <w:lang w:eastAsia="ru-RU"/>
        </w:rPr>
        <w:t>Поступления и выплаты. Доходы</w:t>
      </w:r>
    </w:p>
    <w:tbl>
      <w:tblPr>
        <w:tblW w:w="15536" w:type="dxa"/>
        <w:tblInd w:w="-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901"/>
        <w:gridCol w:w="684"/>
        <w:gridCol w:w="1749"/>
        <w:gridCol w:w="1953"/>
        <w:gridCol w:w="1954"/>
        <w:gridCol w:w="1701"/>
        <w:gridCol w:w="1816"/>
      </w:tblGrid>
      <w:tr w:rsidR="008B5518" w:rsidRPr="008B5518" w:rsidTr="008B5518">
        <w:trPr>
          <w:tblHeader/>
        </w:trPr>
        <w:tc>
          <w:tcPr>
            <w:tcW w:w="4778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КБК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Аналитический код</w:t>
            </w:r>
          </w:p>
        </w:tc>
        <w:tc>
          <w:tcPr>
            <w:tcW w:w="7424" w:type="dxa"/>
            <w:gridSpan w:val="4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</w:t>
            </w:r>
          </w:p>
        </w:tc>
      </w:tr>
      <w:tr w:rsidR="008B5518" w:rsidRPr="008B5518" w:rsidTr="008B5518">
        <w:trPr>
          <w:tblHeader/>
        </w:trPr>
        <w:tc>
          <w:tcPr>
            <w:tcW w:w="4778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2022 текущий финансовый год</w:t>
            </w:r>
          </w:p>
        </w:tc>
        <w:tc>
          <w:tcPr>
            <w:tcW w:w="1954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2023 первый год планового периода</w:t>
            </w:r>
          </w:p>
        </w:tc>
        <w:tc>
          <w:tcPr>
            <w:tcW w:w="1701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2024 второй год планового периода</w:t>
            </w:r>
          </w:p>
        </w:tc>
        <w:tc>
          <w:tcPr>
            <w:tcW w:w="1816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 пределами планового периода</w:t>
            </w:r>
          </w:p>
        </w:tc>
      </w:tr>
      <w:tr w:rsidR="008B5518" w:rsidRPr="008B5518" w:rsidTr="008B5518">
        <w:trPr>
          <w:tblHeader/>
        </w:trPr>
        <w:tc>
          <w:tcPr>
            <w:tcW w:w="477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34 063 632,64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31 148 455,31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31 605 737,31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1553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собственности,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10 255,70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</w:t>
            </w:r>
            <w:bookmarkStart w:id="0" w:name="_GoBack"/>
            <w:bookmarkEnd w:id="0"/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1553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26 044 043,87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24 201 747,83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24 424 817,83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1553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субсидии на финансовое обеспечение выполнения государственного (муниципального) задания за счет средств </w:t>
            </w: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1210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25 960 909,64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24 201 747,83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24 424 817,83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50 750,00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компенсации затрат учреждений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32 384,23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1553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безвозмездные денежные поступления,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8 009 333,07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6 946 707,48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7 180 919,48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1553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целевые субсидии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7 989 333,07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6 946 707,48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7 180 919,48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прочие доходы,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1553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доходы от операций с активами,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1553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прочие поступления,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8B5518" w:rsidRPr="008B5518" w:rsidTr="008B5518">
        <w:tc>
          <w:tcPr>
            <w:tcW w:w="1553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из них:</w:t>
            </w:r>
          </w:p>
        </w:tc>
      </w:tr>
      <w:tr w:rsidR="008B5518" w:rsidRPr="008B5518" w:rsidTr="008B5518">
        <w:tc>
          <w:tcPr>
            <w:tcW w:w="477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95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5518" w:rsidRPr="008B5518" w:rsidRDefault="008B5518" w:rsidP="008B551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8B5518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0,00</w:t>
            </w:r>
            <w:r w:rsidRPr="008B5518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8B5518" w:rsidRPr="008B5518" w:rsidRDefault="008B5518" w:rsidP="008B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538B" w:rsidRDefault="008B5518"/>
    <w:sectPr w:rsidR="00C7538B" w:rsidSect="008B55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18"/>
    <w:rsid w:val="006174F8"/>
    <w:rsid w:val="008B5518"/>
    <w:rsid w:val="00F8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2297">
          <w:marLeft w:val="0"/>
          <w:marRight w:val="0"/>
          <w:marTop w:val="22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2023-09-18T07:59:00Z</dcterms:created>
  <dcterms:modified xsi:type="dcterms:W3CDTF">2023-09-18T08:01:00Z</dcterms:modified>
</cp:coreProperties>
</file>